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r w:rsidRPr="008E2460">
              <w:rPr>
                <w:rFonts w:ascii="Times New Roman" w:eastAsia="Times New Roman" w:hAnsi="Times New Roman"/>
                <w:sz w:val="20"/>
                <w:szCs w:val="20"/>
                <w:lang w:eastAsia="cs-CZ"/>
              </w:rPr>
              <w:t xml:space="preserve">  </w:t>
            </w:r>
          </w:p>
          <w:p w14:paraId="231F4060" w14:textId="77777777" w:rsidR="008E2460" w:rsidRPr="008E2460" w:rsidRDefault="008E2460" w:rsidP="008E2460">
            <w:pPr>
              <w:spacing w:after="0" w:line="240" w:lineRule="auto"/>
              <w:jc w:val="center"/>
              <w:rPr>
                <w:rFonts w:ascii="Arial Black" w:eastAsia="Times New Roman" w:hAnsi="Arial Black"/>
                <w:b/>
                <w:bCs/>
                <w:sz w:val="18"/>
                <w:szCs w:val="2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64EDA4E7" w14:textId="77777777" w:rsidR="008E2460" w:rsidRPr="008E2460" w:rsidRDefault="008E2460" w:rsidP="008E2460">
            <w:pPr>
              <w:spacing w:after="0" w:line="240" w:lineRule="auto"/>
              <w:jc w:val="center"/>
              <w:rPr>
                <w:rFonts w:ascii="Times New Roman" w:eastAsia="Times New Roman" w:hAnsi="Times New Roman"/>
                <w:b/>
                <w:bCs/>
                <w:sz w:val="20"/>
                <w:szCs w:val="20"/>
                <w:lang w:eastAsia="cs-CZ"/>
              </w:rPr>
            </w:pPr>
          </w:p>
          <w:p w14:paraId="0BDC2B9B" w14:textId="77777777" w:rsidR="008E2460" w:rsidRPr="008E2460" w:rsidRDefault="008E2460"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77777777"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8E2460">
              <w:rPr>
                <w:rFonts w:ascii="Arial Black" w:eastAsia="Times New Roman" w:hAnsi="Arial Black"/>
                <w:color w:val="548DD4"/>
                <w:sz w:val="56"/>
                <w:szCs w:val="36"/>
                <w:lang w:eastAsia="cs-CZ"/>
              </w:rPr>
              <w:t>Operační mikroskop s </w:t>
            </w:r>
            <w:r w:rsidRPr="008E2460">
              <w:rPr>
                <w:rFonts w:ascii="Arial Black" w:eastAsia="Times New Roman" w:hAnsi="Arial Black"/>
                <w:color w:val="548DD4"/>
                <w:sz w:val="56"/>
                <w:szCs w:val="36"/>
                <w:lang w:eastAsia="cs-CZ"/>
              </w:rPr>
              <w:br/>
            </w:r>
            <w:proofErr w:type="gramStart"/>
            <w:r w:rsidRPr="008E2460">
              <w:rPr>
                <w:rFonts w:ascii="Arial Black" w:eastAsia="Times New Roman" w:hAnsi="Arial Black"/>
                <w:color w:val="548DD4"/>
                <w:sz w:val="56"/>
                <w:szCs w:val="36"/>
                <w:lang w:eastAsia="cs-CZ"/>
              </w:rPr>
              <w:t>3D</w:t>
            </w:r>
            <w:proofErr w:type="gramEnd"/>
            <w:r w:rsidRPr="008E2460">
              <w:rPr>
                <w:rFonts w:ascii="Arial Black" w:eastAsia="Times New Roman" w:hAnsi="Arial Black"/>
                <w:color w:val="548DD4"/>
                <w:sz w:val="56"/>
                <w:szCs w:val="36"/>
                <w:lang w:eastAsia="cs-CZ"/>
              </w:rPr>
              <w:t xml:space="preserve"> vizualizací</w:t>
            </w:r>
          </w:p>
        </w:tc>
      </w:tr>
      <w:tr w:rsidR="008E2460" w:rsidRPr="008E2460" w14:paraId="0FBD3E3C" w14:textId="77777777" w:rsidTr="00487617">
        <w:tc>
          <w:tcPr>
            <w:tcW w:w="10206" w:type="dxa"/>
            <w:tcBorders>
              <w:left w:val="single" w:sz="48" w:space="0" w:color="000080"/>
              <w:right w:val="single" w:sz="48" w:space="0" w:color="000080"/>
            </w:tcBorders>
          </w:tcPr>
          <w:p w14:paraId="61FA81E7" w14:textId="77777777" w:rsidR="008E2460" w:rsidRP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77777777" w:rsidR="008E2460" w:rsidRP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Times New Roman" w:eastAsia="Times New Roman" w:hAnsi="Times New Roman"/>
                <w:sz w:val="20"/>
                <w:szCs w:val="20"/>
                <w:lang w:eastAsia="cs-CZ"/>
              </w:rPr>
              <w:fldChar w:fldCharType="begin"/>
            </w:r>
            <w:r w:rsidRPr="008E246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Pr="008E2460">
              <w:rPr>
                <w:rFonts w:ascii="Times New Roman" w:eastAsia="Times New Roman" w:hAnsi="Times New Roman"/>
                <w:sz w:val="20"/>
                <w:szCs w:val="20"/>
                <w:lang w:eastAsia="cs-CZ"/>
              </w:rPr>
              <w:fldChar w:fldCharType="separate"/>
            </w:r>
            <w:r w:rsidR="00C57ACC">
              <w:rPr>
                <w:rFonts w:ascii="Times New Roman" w:eastAsia="Times New Roman" w:hAnsi="Times New Roman"/>
                <w:sz w:val="20"/>
                <w:szCs w:val="20"/>
                <w:lang w:eastAsia="cs-CZ"/>
              </w:rPr>
              <w:fldChar w:fldCharType="begin"/>
            </w:r>
            <w:r w:rsidR="00C57ACC">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C57ACC">
              <w:rPr>
                <w:rFonts w:ascii="Times New Roman" w:eastAsia="Times New Roman" w:hAnsi="Times New Roman"/>
                <w:sz w:val="20"/>
                <w:szCs w:val="20"/>
                <w:lang w:eastAsia="cs-CZ"/>
              </w:rPr>
              <w:fldChar w:fldCharType="separate"/>
            </w:r>
            <w:r w:rsidR="006D6A54">
              <w:rPr>
                <w:rFonts w:ascii="Times New Roman" w:eastAsia="Times New Roman" w:hAnsi="Times New Roman"/>
                <w:sz w:val="20"/>
                <w:szCs w:val="20"/>
                <w:lang w:eastAsia="cs-CZ"/>
              </w:rPr>
              <w:fldChar w:fldCharType="begin"/>
            </w:r>
            <w:r w:rsidR="006D6A54">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D6A54">
              <w:rPr>
                <w:rFonts w:ascii="Times New Roman" w:eastAsia="Times New Roman" w:hAnsi="Times New Roman"/>
                <w:sz w:val="20"/>
                <w:szCs w:val="20"/>
                <w:lang w:eastAsia="cs-CZ"/>
              </w:rPr>
              <w:fldChar w:fldCharType="separate"/>
            </w:r>
            <w:r w:rsidR="00814ACE">
              <w:rPr>
                <w:rFonts w:ascii="Times New Roman" w:eastAsia="Times New Roman" w:hAnsi="Times New Roman"/>
                <w:sz w:val="20"/>
                <w:szCs w:val="20"/>
                <w:lang w:eastAsia="cs-CZ"/>
              </w:rPr>
              <w:fldChar w:fldCharType="begin"/>
            </w:r>
            <w:r w:rsidR="00814ACE">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814ACE">
              <w:rPr>
                <w:rFonts w:ascii="Times New Roman" w:eastAsia="Times New Roman" w:hAnsi="Times New Roman"/>
                <w:sz w:val="20"/>
                <w:szCs w:val="20"/>
                <w:lang w:eastAsia="cs-CZ"/>
              </w:rPr>
              <w:fldChar w:fldCharType="separate"/>
            </w:r>
            <w:r w:rsidR="00BB2FAB">
              <w:rPr>
                <w:rFonts w:ascii="Times New Roman" w:eastAsia="Times New Roman" w:hAnsi="Times New Roman"/>
                <w:sz w:val="20"/>
                <w:szCs w:val="20"/>
                <w:lang w:eastAsia="cs-CZ"/>
              </w:rPr>
              <w:fldChar w:fldCharType="begin"/>
            </w:r>
            <w:r w:rsidR="00BB2FAB">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BB2FAB">
              <w:rPr>
                <w:rFonts w:ascii="Times New Roman" w:eastAsia="Times New Roman" w:hAnsi="Times New Roman"/>
                <w:sz w:val="20"/>
                <w:szCs w:val="20"/>
                <w:lang w:eastAsia="cs-CZ"/>
              </w:rPr>
              <w:fldChar w:fldCharType="separate"/>
            </w:r>
            <w:r w:rsidR="00DC4288">
              <w:rPr>
                <w:rFonts w:ascii="Times New Roman" w:eastAsia="Times New Roman" w:hAnsi="Times New Roman"/>
                <w:sz w:val="20"/>
                <w:szCs w:val="20"/>
                <w:lang w:eastAsia="cs-CZ"/>
              </w:rPr>
              <w:fldChar w:fldCharType="begin"/>
            </w:r>
            <w:r w:rsidR="00DC428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DC4288">
              <w:rPr>
                <w:rFonts w:ascii="Times New Roman" w:eastAsia="Times New Roman" w:hAnsi="Times New Roman"/>
                <w:sz w:val="20"/>
                <w:szCs w:val="20"/>
                <w:lang w:eastAsia="cs-CZ"/>
              </w:rPr>
              <w:fldChar w:fldCharType="separate"/>
            </w:r>
            <w:r w:rsidR="00C84D15">
              <w:rPr>
                <w:rFonts w:ascii="Times New Roman" w:eastAsia="Times New Roman" w:hAnsi="Times New Roman"/>
                <w:sz w:val="20"/>
                <w:szCs w:val="20"/>
                <w:lang w:eastAsia="cs-CZ"/>
              </w:rPr>
              <w:fldChar w:fldCharType="begin"/>
            </w:r>
            <w:r w:rsidR="00C84D15">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C84D15">
              <w:rPr>
                <w:rFonts w:ascii="Times New Roman" w:eastAsia="Times New Roman" w:hAnsi="Times New Roman"/>
                <w:sz w:val="20"/>
                <w:szCs w:val="20"/>
                <w:lang w:eastAsia="cs-CZ"/>
              </w:rPr>
              <w:fldChar w:fldCharType="separate"/>
            </w:r>
            <w:r w:rsidR="00F839D2">
              <w:rPr>
                <w:rFonts w:ascii="Times New Roman" w:eastAsia="Times New Roman" w:hAnsi="Times New Roman"/>
                <w:sz w:val="20"/>
                <w:szCs w:val="20"/>
                <w:lang w:eastAsia="cs-CZ"/>
              </w:rPr>
              <w:fldChar w:fldCharType="begin"/>
            </w:r>
            <w:r w:rsidR="00F839D2">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839D2">
              <w:rPr>
                <w:rFonts w:ascii="Times New Roman" w:eastAsia="Times New Roman" w:hAnsi="Times New Roman"/>
                <w:sz w:val="20"/>
                <w:szCs w:val="20"/>
                <w:lang w:eastAsia="cs-CZ"/>
              </w:rPr>
              <w:fldChar w:fldCharType="separate"/>
            </w:r>
            <w:r w:rsidR="00B059A9">
              <w:rPr>
                <w:rFonts w:ascii="Times New Roman" w:eastAsia="Times New Roman" w:hAnsi="Times New Roman"/>
                <w:sz w:val="20"/>
                <w:szCs w:val="20"/>
                <w:lang w:eastAsia="cs-CZ"/>
              </w:rPr>
              <w:fldChar w:fldCharType="begin"/>
            </w:r>
            <w:r w:rsidR="00B059A9">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B059A9">
              <w:rPr>
                <w:rFonts w:ascii="Times New Roman" w:eastAsia="Times New Roman" w:hAnsi="Times New Roman"/>
                <w:sz w:val="20"/>
                <w:szCs w:val="20"/>
                <w:lang w:eastAsia="cs-CZ"/>
              </w:rPr>
              <w:fldChar w:fldCharType="separate"/>
            </w:r>
            <w:r w:rsidR="006654D8">
              <w:rPr>
                <w:rFonts w:ascii="Times New Roman" w:eastAsia="Times New Roman" w:hAnsi="Times New Roman"/>
                <w:sz w:val="20"/>
                <w:szCs w:val="20"/>
                <w:lang w:eastAsia="cs-CZ"/>
              </w:rPr>
              <w:fldChar w:fldCharType="begin"/>
            </w:r>
            <w:r w:rsidR="006654D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654D8">
              <w:rPr>
                <w:rFonts w:ascii="Times New Roman" w:eastAsia="Times New Roman" w:hAnsi="Times New Roman"/>
                <w:sz w:val="20"/>
                <w:szCs w:val="20"/>
                <w:lang w:eastAsia="cs-CZ"/>
              </w:rPr>
              <w:fldChar w:fldCharType="separate"/>
            </w:r>
            <w:r w:rsidR="00F13BB0">
              <w:rPr>
                <w:rFonts w:ascii="Times New Roman" w:eastAsia="Times New Roman" w:hAnsi="Times New Roman"/>
                <w:sz w:val="20"/>
                <w:szCs w:val="20"/>
                <w:lang w:eastAsia="cs-CZ"/>
              </w:rPr>
              <w:fldChar w:fldCharType="begin"/>
            </w:r>
            <w:r w:rsidR="00F13BB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13BB0">
              <w:rPr>
                <w:rFonts w:ascii="Times New Roman" w:eastAsia="Times New Roman" w:hAnsi="Times New Roman"/>
                <w:sz w:val="20"/>
                <w:szCs w:val="20"/>
                <w:lang w:eastAsia="cs-CZ"/>
              </w:rPr>
              <w:fldChar w:fldCharType="separate"/>
            </w:r>
            <w:r w:rsidR="008F6540">
              <w:rPr>
                <w:rFonts w:ascii="Times New Roman" w:eastAsia="Times New Roman" w:hAnsi="Times New Roman"/>
                <w:sz w:val="20"/>
                <w:szCs w:val="20"/>
                <w:lang w:eastAsia="cs-CZ"/>
              </w:rPr>
              <w:fldChar w:fldCharType="begin"/>
            </w:r>
            <w:r w:rsidR="008F654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8F6540">
              <w:rPr>
                <w:rFonts w:ascii="Times New Roman" w:eastAsia="Times New Roman" w:hAnsi="Times New Roman"/>
                <w:sz w:val="20"/>
                <w:szCs w:val="20"/>
                <w:lang w:eastAsia="cs-CZ"/>
              </w:rPr>
              <w:fldChar w:fldCharType="separate"/>
            </w:r>
            <w:r w:rsidR="00C8522A">
              <w:rPr>
                <w:rFonts w:ascii="Times New Roman" w:eastAsia="Times New Roman" w:hAnsi="Times New Roman"/>
                <w:sz w:val="20"/>
                <w:szCs w:val="20"/>
                <w:lang w:eastAsia="cs-CZ"/>
              </w:rPr>
              <w:fldChar w:fldCharType="begin"/>
            </w:r>
            <w:r w:rsidR="00C8522A">
              <w:rPr>
                <w:rFonts w:ascii="Times New Roman" w:eastAsia="Times New Roman" w:hAnsi="Times New Roman"/>
                <w:sz w:val="20"/>
                <w:szCs w:val="20"/>
                <w:lang w:eastAsia="cs-CZ"/>
              </w:rPr>
              <w:instrText xml:space="preserve"> </w:instrText>
            </w:r>
            <w:r w:rsidR="00C8522A">
              <w:rPr>
                <w:rFonts w:ascii="Times New Roman" w:eastAsia="Times New Roman" w:hAnsi="Times New Roman"/>
                <w:sz w:val="20"/>
                <w:szCs w:val="20"/>
                <w:lang w:eastAsia="cs-CZ"/>
              </w:rPr>
              <w:instrText>INCLUDEPICTURE  "https://lh4.goog</w:instrText>
            </w:r>
            <w:r w:rsidR="00C8522A">
              <w:rPr>
                <w:rFonts w:ascii="Times New Roman" w:eastAsia="Times New Roman" w:hAnsi="Times New Roman"/>
                <w:sz w:val="20"/>
                <w:szCs w:val="20"/>
                <w:lang w:eastAsia="cs-CZ"/>
              </w:rPr>
              <w:instrText>leusercontent.com/proxy/S8Yj_KrMZWhi5YLQHwIRrmBUbPSQnjyuDNHmNjLAt5NHWMQXQp6Ds5D0ZZuDGfVs7ib5jSnXwNu3nBhycbcoezYYlyHWhUkJNaE" \* MERGEFORMATINET</w:instrText>
            </w:r>
            <w:r w:rsidR="00C8522A">
              <w:rPr>
                <w:rFonts w:ascii="Times New Roman" w:eastAsia="Times New Roman" w:hAnsi="Times New Roman"/>
                <w:sz w:val="20"/>
                <w:szCs w:val="20"/>
                <w:lang w:eastAsia="cs-CZ"/>
              </w:rPr>
              <w:instrText xml:space="preserve"> </w:instrText>
            </w:r>
            <w:r w:rsidR="00C8522A">
              <w:rPr>
                <w:rFonts w:ascii="Times New Roman" w:eastAsia="Times New Roman" w:hAnsi="Times New Roman"/>
                <w:sz w:val="20"/>
                <w:szCs w:val="20"/>
                <w:lang w:eastAsia="cs-CZ"/>
              </w:rPr>
              <w:fldChar w:fldCharType="separate"/>
            </w:r>
            <w:r w:rsidR="00C8522A">
              <w:rPr>
                <w:rFonts w:ascii="Times New Roman" w:eastAsia="Times New Roman" w:hAnsi="Times New Roman"/>
                <w:sz w:val="20"/>
                <w:szCs w:val="20"/>
                <w:lang w:eastAsia="cs-CZ"/>
              </w:rPr>
              <w:pict w14:anchorId="25F566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101.25pt">
                  <v:imagedata r:id="rId11" r:href="rId12"/>
                </v:shape>
              </w:pict>
            </w:r>
            <w:r w:rsidR="00C8522A">
              <w:rPr>
                <w:rFonts w:ascii="Times New Roman" w:eastAsia="Times New Roman" w:hAnsi="Times New Roman"/>
                <w:sz w:val="20"/>
                <w:szCs w:val="20"/>
                <w:lang w:eastAsia="cs-CZ"/>
              </w:rPr>
              <w:fldChar w:fldCharType="end"/>
            </w:r>
            <w:r w:rsidR="008F6540">
              <w:rPr>
                <w:rFonts w:ascii="Times New Roman" w:eastAsia="Times New Roman" w:hAnsi="Times New Roman"/>
                <w:sz w:val="20"/>
                <w:szCs w:val="20"/>
                <w:lang w:eastAsia="cs-CZ"/>
              </w:rPr>
              <w:fldChar w:fldCharType="end"/>
            </w:r>
            <w:r w:rsidR="00F13BB0">
              <w:rPr>
                <w:rFonts w:ascii="Times New Roman" w:eastAsia="Times New Roman" w:hAnsi="Times New Roman"/>
                <w:sz w:val="20"/>
                <w:szCs w:val="20"/>
                <w:lang w:eastAsia="cs-CZ"/>
              </w:rPr>
              <w:fldChar w:fldCharType="end"/>
            </w:r>
            <w:r w:rsidR="006654D8">
              <w:rPr>
                <w:rFonts w:ascii="Times New Roman" w:eastAsia="Times New Roman" w:hAnsi="Times New Roman"/>
                <w:sz w:val="20"/>
                <w:szCs w:val="20"/>
                <w:lang w:eastAsia="cs-CZ"/>
              </w:rPr>
              <w:fldChar w:fldCharType="end"/>
            </w:r>
            <w:r w:rsidR="00B059A9">
              <w:rPr>
                <w:rFonts w:ascii="Times New Roman" w:eastAsia="Times New Roman" w:hAnsi="Times New Roman"/>
                <w:sz w:val="20"/>
                <w:szCs w:val="20"/>
                <w:lang w:eastAsia="cs-CZ"/>
              </w:rPr>
              <w:fldChar w:fldCharType="end"/>
            </w:r>
            <w:r w:rsidR="00F839D2">
              <w:rPr>
                <w:rFonts w:ascii="Times New Roman" w:eastAsia="Times New Roman" w:hAnsi="Times New Roman"/>
                <w:sz w:val="20"/>
                <w:szCs w:val="20"/>
                <w:lang w:eastAsia="cs-CZ"/>
              </w:rPr>
              <w:fldChar w:fldCharType="end"/>
            </w:r>
            <w:r w:rsidR="00C84D15">
              <w:rPr>
                <w:rFonts w:ascii="Times New Roman" w:eastAsia="Times New Roman" w:hAnsi="Times New Roman"/>
                <w:sz w:val="20"/>
                <w:szCs w:val="20"/>
                <w:lang w:eastAsia="cs-CZ"/>
              </w:rPr>
              <w:fldChar w:fldCharType="end"/>
            </w:r>
            <w:r w:rsidR="00DC4288">
              <w:rPr>
                <w:rFonts w:ascii="Times New Roman" w:eastAsia="Times New Roman" w:hAnsi="Times New Roman"/>
                <w:sz w:val="20"/>
                <w:szCs w:val="20"/>
                <w:lang w:eastAsia="cs-CZ"/>
              </w:rPr>
              <w:fldChar w:fldCharType="end"/>
            </w:r>
            <w:r w:rsidR="00BB2FAB">
              <w:rPr>
                <w:rFonts w:ascii="Times New Roman" w:eastAsia="Times New Roman" w:hAnsi="Times New Roman"/>
                <w:sz w:val="20"/>
                <w:szCs w:val="20"/>
                <w:lang w:eastAsia="cs-CZ"/>
              </w:rPr>
              <w:fldChar w:fldCharType="end"/>
            </w:r>
            <w:r w:rsidR="00814ACE">
              <w:rPr>
                <w:rFonts w:ascii="Times New Roman" w:eastAsia="Times New Roman" w:hAnsi="Times New Roman"/>
                <w:sz w:val="20"/>
                <w:szCs w:val="20"/>
                <w:lang w:eastAsia="cs-CZ"/>
              </w:rPr>
              <w:fldChar w:fldCharType="end"/>
            </w:r>
            <w:r w:rsidR="006D6A54">
              <w:rPr>
                <w:rFonts w:ascii="Times New Roman" w:eastAsia="Times New Roman" w:hAnsi="Times New Roman"/>
                <w:sz w:val="20"/>
                <w:szCs w:val="20"/>
                <w:lang w:eastAsia="cs-CZ"/>
              </w:rPr>
              <w:fldChar w:fldCharType="end"/>
            </w:r>
            <w:r w:rsidR="00C57ACC">
              <w:rPr>
                <w:rFonts w:ascii="Times New Roman" w:eastAsia="Times New Roman" w:hAnsi="Times New Roman"/>
                <w:sz w:val="20"/>
                <w:szCs w:val="20"/>
                <w:lang w:eastAsia="cs-CZ"/>
              </w:rPr>
              <w:fldChar w:fldCharType="end"/>
            </w:r>
            <w:r w:rsidRPr="008E2460">
              <w:rPr>
                <w:rFonts w:ascii="Times New Roman" w:eastAsia="Times New Roman" w:hAnsi="Times New Roman"/>
                <w:sz w:val="20"/>
                <w:szCs w:val="20"/>
                <w:lang w:eastAsia="cs-CZ"/>
              </w:rPr>
              <w:fldChar w:fldCharType="end"/>
            </w:r>
          </w:p>
          <w:p w14:paraId="14055983" w14:textId="77777777" w:rsidR="008E2460" w:rsidRP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21AFFCDE" w14:textId="77777777" w:rsidR="008E2460" w:rsidRPr="008E2460" w:rsidRDefault="008E2460" w:rsidP="008E2460">
            <w:pPr>
              <w:tabs>
                <w:tab w:val="left" w:pos="2198"/>
              </w:tabs>
              <w:spacing w:after="0" w:line="240" w:lineRule="auto"/>
              <w:ind w:left="2198" w:hanging="2198"/>
              <w:rPr>
                <w:rFonts w:ascii="Arial Black" w:eastAsia="Times New Roman" w:hAnsi="Arial Black"/>
                <w:b/>
                <w:sz w:val="14"/>
                <w:szCs w:val="8"/>
                <w:lang w:eastAsia="cs-CZ"/>
              </w:rPr>
            </w:pPr>
          </w:p>
          <w:p w14:paraId="7784846C" w14:textId="77777777" w:rsidR="008E2460" w:rsidRP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2C8263D9"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7DDF7281"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0038BDF2"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1BDBA2CA"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5400E9DD" w14:textId="14D5F767" w:rsidR="008E2460" w:rsidRPr="008E2460" w:rsidRDefault="008E2460" w:rsidP="008E2460">
            <w:pPr>
              <w:spacing w:after="0" w:line="240" w:lineRule="auto"/>
              <w:rPr>
                <w:rFonts w:ascii="Arial" w:eastAsia="Times New Roman" w:hAnsi="Arial" w:cs="Arial"/>
                <w:sz w:val="20"/>
                <w:szCs w:val="20"/>
                <w:lang w:eastAsia="cs-CZ"/>
              </w:rPr>
            </w:pPr>
            <w:r w:rsidRPr="008E2460">
              <w:rPr>
                <w:rFonts w:ascii="Arial" w:eastAsia="Times New Roman" w:hAnsi="Arial" w:cs="Arial"/>
                <w:noProof/>
                <w:sz w:val="20"/>
                <w:szCs w:val="20"/>
                <w:lang w:eastAsia="cs-CZ"/>
              </w:rPr>
              <w:drawing>
                <wp:inline distT="0" distB="0" distL="0" distR="0" wp14:anchorId="5264F7EB" wp14:editId="0BCEBA83">
                  <wp:extent cx="1203960" cy="494665"/>
                  <wp:effectExtent l="0" t="0" r="0" b="635"/>
                  <wp:docPr id="5" name="Obrázek 5"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RT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3960" cy="494665"/>
                          </a:xfrm>
                          <a:prstGeom prst="rect">
                            <a:avLst/>
                          </a:prstGeom>
                          <a:noFill/>
                          <a:ln>
                            <a:noFill/>
                          </a:ln>
                        </pic:spPr>
                      </pic:pic>
                    </a:graphicData>
                  </a:graphic>
                </wp:inline>
              </w:drawing>
            </w:r>
          </w:p>
          <w:p w14:paraId="42189A47" w14:textId="77777777" w:rsidR="008E2460" w:rsidRPr="008E2460" w:rsidRDefault="008E2460" w:rsidP="008E2460">
            <w:pPr>
              <w:spacing w:after="0" w:line="240" w:lineRule="auto"/>
              <w:ind w:left="213"/>
              <w:rPr>
                <w:rFonts w:ascii="Arial" w:eastAsia="Times New Roman" w:hAnsi="Arial" w:cs="Arial"/>
                <w:b/>
                <w:bCs/>
                <w:sz w:val="28"/>
                <w:szCs w:val="20"/>
                <w:lang w:eastAsia="cs-CZ"/>
              </w:rPr>
            </w:pPr>
            <w:r w:rsidRPr="008E2460">
              <w:rPr>
                <w:rFonts w:ascii="Arial" w:eastAsia="Times New Roman" w:hAnsi="Arial" w:cs="Arial"/>
                <w:b/>
                <w:bCs/>
                <w:sz w:val="28"/>
                <w:szCs w:val="20"/>
                <w:lang w:eastAsia="cs-CZ"/>
              </w:rPr>
              <w:t xml:space="preserve">RTS, a.s., Lazaretní 13, 615 00 Brno     </w:t>
            </w:r>
          </w:p>
          <w:p w14:paraId="44E36B36" w14:textId="77777777" w:rsidR="008E2460" w:rsidRPr="008E2460" w:rsidRDefault="008E2460" w:rsidP="008E2460">
            <w:pPr>
              <w:spacing w:after="0" w:line="240" w:lineRule="auto"/>
              <w:ind w:left="213"/>
              <w:rPr>
                <w:rFonts w:ascii="Arial" w:eastAsia="Times New Roman" w:hAnsi="Arial" w:cs="Arial"/>
                <w:b/>
                <w:bCs/>
                <w:sz w:val="28"/>
                <w:szCs w:val="20"/>
                <w:lang w:eastAsia="cs-CZ"/>
              </w:rPr>
            </w:pPr>
            <w:r w:rsidRPr="008E2460">
              <w:rPr>
                <w:rFonts w:ascii="Arial" w:eastAsia="Times New Roman" w:hAnsi="Arial" w:cs="Arial"/>
                <w:b/>
                <w:bCs/>
                <w:sz w:val="28"/>
                <w:szCs w:val="20"/>
                <w:lang w:eastAsia="cs-CZ"/>
              </w:rPr>
              <w:t>Společnost pověřená výkonem zadavatelských činností</w:t>
            </w: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0" w:name="_Toc79646641"/>
      <w:r w:rsidRPr="008E2460">
        <w:rPr>
          <w:rFonts w:ascii="Times New Roman" w:eastAsia="Times New Roman" w:hAnsi="Times New Roman"/>
          <w:b/>
          <w:caps/>
          <w:snapToGrid w:val="0"/>
          <w:sz w:val="32"/>
          <w:szCs w:val="20"/>
          <w:lang w:eastAsia="cs-CZ"/>
        </w:rPr>
        <w:lastRenderedPageBreak/>
        <w:t>Preambule</w:t>
      </w:r>
      <w:bookmarkEnd w:id="0"/>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8E2460" w:rsidRDefault="008E2460" w:rsidP="008E2460">
      <w:pPr>
        <w:tabs>
          <w:tab w:val="left" w:pos="284"/>
        </w:tabs>
        <w:spacing w:after="0" w:line="240" w:lineRule="auto"/>
        <w:jc w:val="both"/>
        <w:rPr>
          <w:rFonts w:ascii="Times New Roman" w:eastAsia="Times New Roman" w:hAnsi="Times New Roman"/>
          <w:sz w:val="24"/>
          <w:szCs w:val="20"/>
          <w:lang w:eastAsia="cs-CZ"/>
        </w:rPr>
      </w:pPr>
      <w:r w:rsidRPr="008E2460">
        <w:rPr>
          <w:rFonts w:ascii="Times New Roman" w:eastAsia="Times New Roman" w:hAnsi="Times New Roman"/>
          <w:sz w:val="24"/>
          <w:szCs w:val="20"/>
          <w:lang w:eastAsia="cs-CZ"/>
        </w:rPr>
        <w:t xml:space="preserve">Tyto obchodní podmínky určují rámec budoucího smluvního vztahu mezi zadavatelem a vybraným dodavatelem. Jsou vypracovány v rozsahu vzoru </w:t>
      </w:r>
      <w:r>
        <w:rPr>
          <w:rFonts w:ascii="Times New Roman" w:eastAsia="Times New Roman" w:hAnsi="Times New Roman"/>
          <w:sz w:val="24"/>
          <w:szCs w:val="20"/>
          <w:lang w:eastAsia="cs-CZ"/>
        </w:rPr>
        <w:t xml:space="preserve">kupní </w:t>
      </w:r>
      <w:r w:rsidRPr="008E2460">
        <w:rPr>
          <w:rFonts w:ascii="Times New Roman" w:eastAsia="Times New Roman" w:hAnsi="Times New Roman"/>
          <w:sz w:val="24"/>
          <w:szCs w:val="20"/>
          <w:lang w:eastAsia="cs-CZ"/>
        </w:rPr>
        <w:t xml:space="preserve">smlouvy, na jehož znění zadavatel trvá. Dodavatel doplní do předloženého vzoru </w:t>
      </w:r>
      <w:r w:rsidRPr="008E2460">
        <w:rPr>
          <w:rFonts w:ascii="Times New Roman" w:eastAsia="Times New Roman" w:hAnsi="Times New Roman"/>
          <w:sz w:val="24"/>
          <w:szCs w:val="24"/>
          <w:lang w:eastAsia="cs-CZ"/>
        </w:rPr>
        <w:t xml:space="preserve">údaje nezbytné pro vznik návrhu </w:t>
      </w:r>
      <w:r>
        <w:rPr>
          <w:rFonts w:ascii="Times New Roman" w:eastAsia="Times New Roman" w:hAnsi="Times New Roman"/>
          <w:sz w:val="24"/>
          <w:szCs w:val="24"/>
          <w:lang w:eastAsia="cs-CZ"/>
        </w:rPr>
        <w:t xml:space="preserve">kupní </w:t>
      </w:r>
      <w:r w:rsidRPr="008E2460">
        <w:rPr>
          <w:rFonts w:ascii="Times New Roman" w:eastAsia="Times New Roman" w:hAnsi="Times New Roman"/>
          <w:sz w:val="24"/>
          <w:szCs w:val="24"/>
          <w:lang w:eastAsia="cs-CZ"/>
        </w:rPr>
        <w:t>smlouvy (zejména vlastní identifikaci</w:t>
      </w:r>
      <w:r>
        <w:rPr>
          <w:rFonts w:ascii="Times New Roman" w:eastAsia="Times New Roman" w:hAnsi="Times New Roman"/>
          <w:sz w:val="24"/>
          <w:szCs w:val="24"/>
          <w:lang w:eastAsia="cs-CZ"/>
        </w:rPr>
        <w:t xml:space="preserve">, </w:t>
      </w:r>
      <w:r w:rsidRPr="008E2460">
        <w:rPr>
          <w:rFonts w:ascii="Times New Roman" w:eastAsia="Times New Roman" w:hAnsi="Times New Roman"/>
          <w:sz w:val="24"/>
          <w:szCs w:val="24"/>
          <w:lang w:eastAsia="cs-CZ"/>
        </w:rPr>
        <w:t xml:space="preserve">nabídkovou cenu a popřípadě další údaje, jejichž doplnění text návrhu smlouvy předpokládá, označeno v textu obchodních podmínek </w:t>
      </w:r>
      <w:r w:rsidRPr="008E2460">
        <w:rPr>
          <w:rFonts w:ascii="Times New Roman" w:eastAsia="Times New Roman" w:hAnsi="Times New Roman"/>
          <w:sz w:val="24"/>
          <w:szCs w:val="24"/>
          <w:highlight w:val="yellow"/>
          <w:lang w:eastAsia="cs-CZ"/>
        </w:rPr>
        <w:t xml:space="preserve">[DOPLNÍ </w:t>
      </w:r>
      <w:r w:rsidR="008F6540" w:rsidRPr="008F6540">
        <w:rPr>
          <w:rFonts w:ascii="Times New Roman" w:eastAsia="Times New Roman" w:hAnsi="Times New Roman"/>
          <w:sz w:val="24"/>
          <w:szCs w:val="24"/>
          <w:highlight w:val="yellow"/>
          <w:lang w:eastAsia="cs-CZ"/>
        </w:rPr>
        <w:t>prodávající</w:t>
      </w:r>
      <w:r w:rsidRPr="008E2460">
        <w:rPr>
          <w:rFonts w:ascii="Times New Roman" w:eastAsia="Times New Roman" w:hAnsi="Times New Roman"/>
          <w:sz w:val="24"/>
          <w:szCs w:val="24"/>
          <w:highlight w:val="yellow"/>
          <w:lang w:eastAsia="cs-CZ"/>
        </w:rPr>
        <w:t>]</w:t>
      </w:r>
      <w:r w:rsidRPr="008E2460">
        <w:rPr>
          <w:rFonts w:ascii="Times New Roman" w:eastAsia="Times New Roman" w:hAnsi="Times New Roman"/>
          <w:sz w:val="24"/>
          <w:szCs w:val="24"/>
          <w:lang w:eastAsia="cs-CZ"/>
        </w:rPr>
        <w:t xml:space="preserve">), a takto doplněné obchodní podmínky (popřípadě doplněné jinými přílohami požadovanými podmínkami </w:t>
      </w:r>
      <w:r w:rsidR="00EB5A8B">
        <w:rPr>
          <w:rFonts w:ascii="Times New Roman" w:eastAsia="Times New Roman" w:hAnsi="Times New Roman"/>
          <w:sz w:val="24"/>
          <w:szCs w:val="24"/>
          <w:lang w:eastAsia="cs-CZ"/>
        </w:rPr>
        <w:t>zadávacího</w:t>
      </w:r>
      <w:r w:rsidR="00EB5A8B" w:rsidRPr="008E2460">
        <w:rPr>
          <w:rFonts w:ascii="Times New Roman" w:eastAsia="Times New Roman" w:hAnsi="Times New Roman"/>
          <w:sz w:val="24"/>
          <w:szCs w:val="24"/>
          <w:lang w:eastAsia="cs-CZ"/>
        </w:rPr>
        <w:t xml:space="preserve"> </w:t>
      </w:r>
      <w:r w:rsidRPr="008E2460">
        <w:rPr>
          <w:rFonts w:ascii="Times New Roman" w:eastAsia="Times New Roman" w:hAnsi="Times New Roman"/>
          <w:sz w:val="24"/>
          <w:szCs w:val="24"/>
          <w:lang w:eastAsia="cs-CZ"/>
        </w:rPr>
        <w:t xml:space="preserve">řízení) </w:t>
      </w:r>
      <w:proofErr w:type="gramStart"/>
      <w:r w:rsidRPr="008E2460">
        <w:rPr>
          <w:rFonts w:ascii="Times New Roman" w:eastAsia="Times New Roman" w:hAnsi="Times New Roman"/>
          <w:sz w:val="24"/>
          <w:szCs w:val="24"/>
          <w:lang w:eastAsia="cs-CZ"/>
        </w:rPr>
        <w:t>předloží</w:t>
      </w:r>
      <w:proofErr w:type="gramEnd"/>
      <w:r w:rsidRPr="008E2460">
        <w:rPr>
          <w:rFonts w:ascii="Times New Roman" w:eastAsia="Times New Roman" w:hAnsi="Times New Roman"/>
          <w:sz w:val="24"/>
          <w:szCs w:val="24"/>
          <w:lang w:eastAsia="cs-CZ"/>
        </w:rPr>
        <w:t xml:space="preserve">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 xml:space="preserve">v Brně, oddíl </w:t>
      </w:r>
      <w:proofErr w:type="spellStart"/>
      <w:r w:rsidR="008E2460" w:rsidRPr="008E2460">
        <w:rPr>
          <w:rFonts w:ascii="Arial Narrow" w:hAnsi="Arial Narrow"/>
          <w:sz w:val="24"/>
          <w:szCs w:val="24"/>
        </w:rPr>
        <w:t>Pr</w:t>
      </w:r>
      <w:proofErr w:type="spellEnd"/>
      <w:r w:rsidR="008E2460" w:rsidRPr="008E2460">
        <w:rPr>
          <w:rFonts w:ascii="Arial Narrow" w:hAnsi="Arial Narrow"/>
          <w:sz w:val="24"/>
          <w:szCs w:val="24"/>
        </w:rPr>
        <w:t>, vložka 1230</w:t>
      </w:r>
    </w:p>
    <w:p w14:paraId="2A0A063A" w14:textId="53483E21"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8F6540" w:rsidRPr="008F6540">
        <w:rPr>
          <w:rFonts w:ascii="Arial Narrow" w:hAnsi="Arial Narrow"/>
          <w:sz w:val="24"/>
          <w:szCs w:val="24"/>
        </w:rPr>
        <w:t xml:space="preserve">Mgr. Veronika </w:t>
      </w:r>
      <w:proofErr w:type="spellStart"/>
      <w:r w:rsidR="008F6540" w:rsidRPr="008F6540">
        <w:rPr>
          <w:rFonts w:ascii="Arial Narrow" w:hAnsi="Arial Narrow"/>
          <w:sz w:val="24"/>
          <w:szCs w:val="24"/>
        </w:rPr>
        <w:t>Neničková</w:t>
      </w:r>
      <w:proofErr w:type="spellEnd"/>
      <w:r w:rsidR="008F6540" w:rsidRPr="008F6540">
        <w:rPr>
          <w:rFonts w:ascii="Arial Narrow" w:hAnsi="Arial Narrow"/>
          <w:sz w:val="24"/>
          <w:szCs w:val="24"/>
        </w:rPr>
        <w:t xml:space="preserve">, </w:t>
      </w:r>
      <w:proofErr w:type="spellStart"/>
      <w:r w:rsidR="008F6540" w:rsidRPr="008F6540">
        <w:rPr>
          <w:rFonts w:ascii="Arial Narrow" w:hAnsi="Arial Narrow"/>
          <w:sz w:val="24"/>
          <w:szCs w:val="24"/>
        </w:rPr>
        <w:t>MBAce</w:t>
      </w:r>
      <w:proofErr w:type="spellEnd"/>
      <w:r w:rsidR="008F6540" w:rsidRPr="008F6540">
        <w:rPr>
          <w:rFonts w:ascii="Arial Narrow" w:hAnsi="Arial Narrow"/>
          <w:sz w:val="24"/>
          <w:szCs w:val="24"/>
        </w:rPr>
        <w:t xml:space="preserve"> – statutární zástupce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proofErr w:type="gramStart"/>
      <w:r w:rsidR="00B50AA5" w:rsidRPr="005E389C">
        <w:rPr>
          <w:rFonts w:ascii="Arial Narrow" w:hAnsi="Arial Narrow"/>
          <w:sz w:val="24"/>
          <w:szCs w:val="24"/>
          <w:highlight w:val="yellow"/>
        </w:rPr>
        <w:t>prodávající]</w:t>
      </w:r>
      <w:r w:rsidR="00222D6A" w:rsidRPr="005E389C">
        <w:rPr>
          <w:rFonts w:ascii="Arial Narrow" w:hAnsi="Arial Narrow"/>
          <w:sz w:val="24"/>
          <w:szCs w:val="24"/>
        </w:rPr>
        <w:t>vlož</w:t>
      </w:r>
      <w:r w:rsidRPr="005E389C">
        <w:rPr>
          <w:rFonts w:ascii="Arial Narrow" w:hAnsi="Arial Narrow"/>
          <w:sz w:val="24"/>
          <w:szCs w:val="24"/>
        </w:rPr>
        <w:t>ka</w:t>
      </w:r>
      <w:proofErr w:type="gramEnd"/>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6F40F2B2" w:rsidR="00D97D2D" w:rsidRPr="008E2460" w:rsidRDefault="001E1244" w:rsidP="008E2460">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občansk</w:t>
      </w:r>
      <w:r w:rsidR="005A635A" w:rsidRPr="000E24EB">
        <w:rPr>
          <w:rFonts w:ascii="Arial Narrow" w:hAnsi="Arial Narrow"/>
          <w:sz w:val="24"/>
          <w:szCs w:val="24"/>
        </w:rPr>
        <w:t>ý</w:t>
      </w:r>
      <w:r w:rsidR="0069676D" w:rsidRPr="000E24EB">
        <w:rPr>
          <w:rFonts w:ascii="Arial Narrow" w:hAnsi="Arial Narrow"/>
          <w:sz w:val="24"/>
          <w:szCs w:val="24"/>
        </w:rPr>
        <w:t xml:space="preserve"> zákoník</w:t>
      </w:r>
      <w:r w:rsidR="00484274" w:rsidRPr="000E24EB">
        <w:rPr>
          <w:rFonts w:ascii="Arial Narrow" w:hAnsi="Arial Narrow"/>
          <w:sz w:val="24"/>
          <w:szCs w:val="24"/>
        </w:rPr>
        <w:t xml:space="preserve"> </w:t>
      </w:r>
      <w:r w:rsidR="00F23287" w:rsidRPr="000E24EB">
        <w:rPr>
          <w:rFonts w:ascii="Arial Narrow" w:hAnsi="Arial Narrow"/>
          <w:sz w:val="24"/>
          <w:szCs w:val="24"/>
        </w:rPr>
        <w:t>(dále jen „</w:t>
      </w:r>
      <w:r w:rsidR="00F23287" w:rsidRPr="000E24EB">
        <w:rPr>
          <w:rFonts w:ascii="Arial Narrow" w:hAnsi="Arial Narrow"/>
          <w:b/>
          <w:sz w:val="24"/>
          <w:szCs w:val="24"/>
        </w:rPr>
        <w:t>občanský zákoník</w:t>
      </w:r>
      <w:r w:rsidR="00F23287" w:rsidRPr="000E24EB">
        <w:rPr>
          <w:rFonts w:ascii="Arial Narrow" w:hAnsi="Arial Narrow"/>
          <w:sz w:val="24"/>
          <w:szCs w:val="24"/>
        </w:rPr>
        <w:t>“)</w:t>
      </w:r>
      <w:r w:rsidR="000E24EB" w:rsidRPr="000E24EB">
        <w:rPr>
          <w:rFonts w:ascii="Arial Narrow" w:hAnsi="Arial Narrow"/>
          <w:sz w:val="24"/>
          <w:szCs w:val="24"/>
        </w:rPr>
        <w:t>, jako výsledek otevřeného zadávacího řízení na realizaci nadlimitní veřejné zakázky nazvané „</w:t>
      </w:r>
      <w:r w:rsidR="008E2460" w:rsidRPr="008E2460">
        <w:rPr>
          <w:rFonts w:ascii="Arial Narrow" w:hAnsi="Arial Narrow"/>
          <w:b/>
          <w:sz w:val="24"/>
          <w:szCs w:val="24"/>
        </w:rPr>
        <w:t xml:space="preserve">Operační mikroskop s </w:t>
      </w:r>
      <w:proofErr w:type="gramStart"/>
      <w:r w:rsidR="008E2460" w:rsidRPr="008E2460">
        <w:rPr>
          <w:rFonts w:ascii="Arial Narrow" w:hAnsi="Arial Narrow"/>
          <w:b/>
          <w:sz w:val="24"/>
          <w:szCs w:val="24"/>
        </w:rPr>
        <w:t>3D</w:t>
      </w:r>
      <w:proofErr w:type="gramEnd"/>
      <w:r w:rsidR="008E2460" w:rsidRPr="008E2460">
        <w:rPr>
          <w:rFonts w:ascii="Arial Narrow" w:hAnsi="Arial Narrow"/>
          <w:b/>
          <w:sz w:val="24"/>
          <w:szCs w:val="24"/>
        </w:rPr>
        <w:t xml:space="preserve"> vizualizací</w:t>
      </w:r>
      <w:r w:rsidR="008E2460" w:rsidRPr="008E2460">
        <w:rPr>
          <w:rFonts w:ascii="Arial Narrow" w:hAnsi="Arial Narrow"/>
          <w:bCs/>
          <w:sz w:val="24"/>
          <w:szCs w:val="24"/>
        </w:rPr>
        <w:t>“</w:t>
      </w:r>
      <w:r w:rsidR="000E24EB" w:rsidRPr="000E24EB">
        <w:rPr>
          <w:rFonts w:ascii="Arial Narrow" w:hAnsi="Arial Narrow"/>
          <w:b/>
          <w:sz w:val="24"/>
          <w:szCs w:val="24"/>
        </w:rPr>
        <w:t xml:space="preserve"> </w:t>
      </w:r>
      <w:r w:rsidR="000E24EB" w:rsidRPr="000E24EB">
        <w:rPr>
          <w:rFonts w:ascii="Arial Narrow" w:hAnsi="Arial Narrow"/>
          <w:sz w:val="24"/>
          <w:szCs w:val="24"/>
        </w:rPr>
        <w:t>(dále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r w:rsidR="00CC72D4">
        <w:rPr>
          <w:rFonts w:ascii="Arial Narrow" w:hAnsi="Arial Narrow"/>
          <w:sz w:val="24"/>
          <w:szCs w:val="24"/>
        </w:rPr>
        <w:t>.</w:t>
      </w:r>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2783BD84"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8E2460" w:rsidRPr="008E2460">
        <w:rPr>
          <w:rFonts w:ascii="Arial Narrow" w:hAnsi="Arial Narrow"/>
          <w:b/>
          <w:bCs/>
          <w:sz w:val="24"/>
          <w:szCs w:val="24"/>
        </w:rPr>
        <w:t>operační mikroskop</w:t>
      </w:r>
      <w:r w:rsidR="00864792" w:rsidRPr="009F4EFB">
        <w:rPr>
          <w:rFonts w:ascii="Arial Narrow" w:hAnsi="Arial Narrow"/>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dodávaný přístroj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konkrétního přístroje nabízeného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w:t>
      </w:r>
      <w:r w:rsidR="000E24EB" w:rsidRPr="000E24EB">
        <w:rPr>
          <w:rFonts w:ascii="Arial Narrow" w:hAnsi="Arial Narrow"/>
          <w:sz w:val="24"/>
          <w:szCs w:val="24"/>
        </w:rPr>
        <w:lastRenderedPageBreak/>
        <w:t>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8E7EDB0" w14:textId="77777777" w:rsidR="002C4A56" w:rsidRPr="009F4EFB" w:rsidRDefault="002C4A56"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14:paraId="6F999B2B"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E2A579"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7BF2FFAD" w14:textId="0FBE58C1"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4477F44"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platného zákona o zdravotnických prostředcích a o změně některých souvisejících zákonů, ve znění pozdějších předpisů (dále jen „zákona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prohlášení o shodě dodaného zařízení se schválenými standardy (certifikát DC), které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prodávající kupujícímu do 14 dnů ode dne podpisu smlouvy,</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zpracování a předání protokolu se stanovením třídy zdravotnického prostředku (I, </w:t>
      </w:r>
      <w:proofErr w:type="spellStart"/>
      <w:r w:rsidRPr="00A108F3">
        <w:rPr>
          <w:rFonts w:ascii="Arial Narrow" w:hAnsi="Arial Narrow"/>
          <w:sz w:val="24"/>
          <w:szCs w:val="24"/>
        </w:rPr>
        <w:t>IIa</w:t>
      </w:r>
      <w:proofErr w:type="spellEnd"/>
      <w:r w:rsidRPr="00A108F3">
        <w:rPr>
          <w:rFonts w:ascii="Arial Narrow" w:hAnsi="Arial Narrow"/>
          <w:sz w:val="24"/>
          <w:szCs w:val="24"/>
        </w:rPr>
        <w:t xml:space="preserve">, </w:t>
      </w:r>
      <w:proofErr w:type="spellStart"/>
      <w:r w:rsidRPr="00A108F3">
        <w:rPr>
          <w:rFonts w:ascii="Arial Narrow" w:hAnsi="Arial Narrow"/>
          <w:sz w:val="24"/>
          <w:szCs w:val="24"/>
        </w:rPr>
        <w:t>IIb</w:t>
      </w:r>
      <w:proofErr w:type="spellEnd"/>
      <w:r w:rsidRPr="00A108F3">
        <w:rPr>
          <w:rFonts w:ascii="Arial Narrow" w:hAnsi="Arial Narrow"/>
          <w:sz w:val="24"/>
          <w:szCs w:val="24"/>
        </w:rPr>
        <w:t>, III),</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24075B9A"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zákonem č. </w:t>
      </w:r>
      <w:r w:rsidR="00DF5434" w:rsidRPr="00DF5434">
        <w:rPr>
          <w:rFonts w:ascii="Arial Narrow" w:hAnsi="Arial Narrow"/>
          <w:sz w:val="24"/>
          <w:szCs w:val="24"/>
        </w:rPr>
        <w:t xml:space="preserve">89/2021 </w:t>
      </w:r>
      <w:r w:rsidRPr="00A108F3">
        <w:rPr>
          <w:rFonts w:ascii="Arial Narrow" w:hAnsi="Arial Narrow"/>
          <w:sz w:val="24"/>
          <w:szCs w:val="24"/>
        </w:rPr>
        <w:t>Sb.),</w:t>
      </w:r>
    </w:p>
    <w:p w14:paraId="1B71005B"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zajištění 1x ročně povinné instruktáže dle platné legislativy odpovídající předmětu plnění.</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A108F3">
      <w:pPr>
        <w:numPr>
          <w:ilvl w:val="0"/>
          <w:numId w:val="15"/>
        </w:numPr>
        <w:spacing w:after="0"/>
        <w:ind w:left="567" w:hanging="142"/>
        <w:contextualSpacing/>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671CED">
      <w:pPr>
        <w:numPr>
          <w:ilvl w:val="0"/>
          <w:numId w:val="15"/>
        </w:numPr>
        <w:spacing w:after="120"/>
        <w:ind w:left="567" w:hanging="142"/>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78302E58"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lace zdravotnického prostředku, přičemž veškerá servisní činnost nad rámec sjednané servisní doby dle této smlouvy bude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A4680C0" w14:textId="760E574F" w:rsidR="0074112E" w:rsidRPr="0074112E" w:rsidRDefault="0074112E" w:rsidP="0074112E">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B75B86A"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007621A3" w14:textId="77777777" w:rsidR="00B04533" w:rsidRPr="00DF5434" w:rsidRDefault="00B04533"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77777777" w:rsidR="00CC72D4" w:rsidRPr="00BB2FAB"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a to</w:t>
      </w:r>
      <w:r w:rsidR="00CC72D4" w:rsidRPr="00BB2FAB">
        <w:rPr>
          <w:rFonts w:ascii="Arial Narrow" w:hAnsi="Arial Narrow"/>
          <w:sz w:val="24"/>
          <w:szCs w:val="24"/>
        </w:rPr>
        <w:t xml:space="preserve"> následovně:</w:t>
      </w:r>
    </w:p>
    <w:p w14:paraId="69890A53" w14:textId="731613E0" w:rsidR="00CC72D4" w:rsidRPr="00BB2FAB" w:rsidRDefault="00CC72D4" w:rsidP="00CC72D4">
      <w:pPr>
        <w:pStyle w:val="Odstavecseseznamem"/>
        <w:numPr>
          <w:ilvl w:val="0"/>
          <w:numId w:val="19"/>
        </w:numPr>
        <w:spacing w:after="120"/>
        <w:jc w:val="both"/>
        <w:rPr>
          <w:rFonts w:ascii="Arial Narrow" w:hAnsi="Arial Narrow"/>
          <w:sz w:val="24"/>
          <w:szCs w:val="24"/>
        </w:rPr>
      </w:pPr>
      <w:r w:rsidRPr="00BB2FAB">
        <w:rPr>
          <w:rFonts w:ascii="Arial Narrow" w:hAnsi="Arial Narrow"/>
          <w:b/>
          <w:bCs/>
          <w:sz w:val="24"/>
          <w:szCs w:val="24"/>
        </w:rPr>
        <w:t>50 % kupní ceny</w:t>
      </w:r>
      <w:r w:rsidRPr="00BB2FAB">
        <w:rPr>
          <w:rFonts w:ascii="Arial Narrow" w:hAnsi="Arial Narrow"/>
          <w:sz w:val="24"/>
          <w:szCs w:val="24"/>
        </w:rPr>
        <w:t xml:space="preserve"> </w:t>
      </w:r>
      <w:r w:rsidR="009C39D2" w:rsidRPr="00BB2FAB">
        <w:rPr>
          <w:rFonts w:ascii="Arial Narrow" w:hAnsi="Arial Narrow"/>
          <w:sz w:val="24"/>
          <w:szCs w:val="24"/>
        </w:rPr>
        <w:t xml:space="preserve">bude uhrazeno </w:t>
      </w:r>
      <w:r w:rsidRPr="00BB2FAB">
        <w:rPr>
          <w:rFonts w:ascii="Arial Narrow" w:hAnsi="Arial Narrow"/>
          <w:sz w:val="24"/>
          <w:szCs w:val="24"/>
        </w:rPr>
        <w:t xml:space="preserve">na základě </w:t>
      </w:r>
      <w:r w:rsidRPr="00BB2FAB">
        <w:rPr>
          <w:rFonts w:ascii="Arial Narrow" w:hAnsi="Arial Narrow"/>
          <w:b/>
          <w:bCs/>
          <w:sz w:val="24"/>
          <w:szCs w:val="24"/>
        </w:rPr>
        <w:t>měsíční</w:t>
      </w:r>
      <w:r w:rsidR="00C57ACC" w:rsidRPr="00BB2FAB">
        <w:rPr>
          <w:rFonts w:ascii="Arial Narrow" w:hAnsi="Arial Narrow"/>
          <w:b/>
          <w:bCs/>
          <w:sz w:val="24"/>
          <w:szCs w:val="24"/>
        </w:rPr>
        <w:t xml:space="preserve">ch faktur vystavených </w:t>
      </w:r>
      <w:r w:rsidRPr="00BB2FAB">
        <w:rPr>
          <w:rFonts w:ascii="Arial Narrow" w:hAnsi="Arial Narrow"/>
          <w:b/>
          <w:bCs/>
          <w:sz w:val="24"/>
          <w:szCs w:val="24"/>
        </w:rPr>
        <w:t>do konce roku 2022</w:t>
      </w:r>
      <w:r w:rsidRPr="00BB2FAB">
        <w:rPr>
          <w:rFonts w:ascii="Arial Narrow" w:hAnsi="Arial Narrow"/>
          <w:sz w:val="24"/>
          <w:szCs w:val="24"/>
        </w:rPr>
        <w:t xml:space="preserve">, počínaje měsícem následující po měsíci, ve kterém proběhlo </w:t>
      </w:r>
      <w:r w:rsidR="0074112E" w:rsidRPr="00BB2FAB">
        <w:rPr>
          <w:rFonts w:ascii="Arial Narrow" w:hAnsi="Arial Narrow"/>
          <w:sz w:val="24"/>
          <w:szCs w:val="24"/>
        </w:rPr>
        <w:t>protokolárním předání a převzetí předmětu plnění.</w:t>
      </w:r>
    </w:p>
    <w:p w14:paraId="29C00ED2" w14:textId="5A24643C" w:rsidR="00CC72D4" w:rsidRPr="00BB2FAB" w:rsidRDefault="00CC72D4" w:rsidP="00CC72D4">
      <w:pPr>
        <w:pStyle w:val="Odstavecseseznamem"/>
        <w:numPr>
          <w:ilvl w:val="0"/>
          <w:numId w:val="19"/>
        </w:numPr>
        <w:spacing w:after="120"/>
        <w:jc w:val="both"/>
        <w:rPr>
          <w:rFonts w:ascii="Arial Narrow" w:hAnsi="Arial Narrow"/>
          <w:sz w:val="24"/>
          <w:szCs w:val="24"/>
        </w:rPr>
      </w:pPr>
      <w:r w:rsidRPr="00BB2FAB">
        <w:rPr>
          <w:rFonts w:ascii="Arial Narrow" w:hAnsi="Arial Narrow"/>
          <w:b/>
          <w:bCs/>
          <w:sz w:val="24"/>
          <w:szCs w:val="24"/>
        </w:rPr>
        <w:t>Zbylých 50 % kupní ceny</w:t>
      </w:r>
      <w:r w:rsidRPr="00BB2FAB">
        <w:rPr>
          <w:rFonts w:ascii="Arial Narrow" w:hAnsi="Arial Narrow"/>
          <w:sz w:val="24"/>
          <w:szCs w:val="24"/>
        </w:rPr>
        <w:t xml:space="preserve"> na základě </w:t>
      </w:r>
      <w:proofErr w:type="gramStart"/>
      <w:r w:rsidR="009C39D2" w:rsidRPr="00BB2FAB">
        <w:rPr>
          <w:rFonts w:ascii="Arial Narrow" w:hAnsi="Arial Narrow"/>
          <w:b/>
          <w:bCs/>
          <w:sz w:val="24"/>
          <w:szCs w:val="24"/>
        </w:rPr>
        <w:t>12-ti měsíčních</w:t>
      </w:r>
      <w:proofErr w:type="gramEnd"/>
      <w:r w:rsidR="009C39D2" w:rsidRPr="00BB2FAB">
        <w:rPr>
          <w:rFonts w:ascii="Arial Narrow" w:hAnsi="Arial Narrow"/>
          <w:b/>
          <w:bCs/>
          <w:sz w:val="24"/>
          <w:szCs w:val="24"/>
        </w:rPr>
        <w:t xml:space="preserve"> faktur vystavených v průběhu roku 2023</w:t>
      </w:r>
      <w:r w:rsidR="009C39D2" w:rsidRPr="00BB2FAB">
        <w:rPr>
          <w:rFonts w:ascii="Arial Narrow" w:hAnsi="Arial Narrow"/>
          <w:sz w:val="24"/>
          <w:szCs w:val="24"/>
        </w:rPr>
        <w:t xml:space="preserve">. Částka bude rovnoměrně rozložena mezi jednotlivé faktury. </w:t>
      </w:r>
    </w:p>
    <w:p w14:paraId="44C28EEA" w14:textId="044C8ABF"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 xml:space="preserve">Splatnost faktur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021EA478" w:rsidR="0074112E" w:rsidRPr="00BB2FAB"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9C39D2" w:rsidRPr="00BB2FAB">
        <w:rPr>
          <w:rFonts w:ascii="Arial Narrow" w:hAnsi="Arial Narrow"/>
          <w:sz w:val="24"/>
          <w:szCs w:val="24"/>
        </w:rPr>
        <w:t>é</w:t>
      </w:r>
      <w:r w:rsidRPr="00BB2FAB">
        <w:rPr>
          <w:rFonts w:ascii="Arial Narrow" w:hAnsi="Arial Narrow"/>
          <w:sz w:val="24"/>
          <w:szCs w:val="24"/>
        </w:rPr>
        <w:t xml:space="preserve"> faktur</w:t>
      </w:r>
      <w:r w:rsidR="009C39D2" w:rsidRPr="00BB2FAB">
        <w:rPr>
          <w:rFonts w:ascii="Arial Narrow" w:hAnsi="Arial Narrow"/>
          <w:sz w:val="24"/>
          <w:szCs w:val="24"/>
        </w:rPr>
        <w:t>y</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právní úpravy</w:t>
      </w:r>
      <w:r w:rsidR="00CC72D4" w:rsidRPr="00BB2FAB">
        <w:rPr>
          <w:rFonts w:ascii="Arial Narrow" w:hAnsi="Arial Narrow"/>
          <w:sz w:val="24"/>
          <w:szCs w:val="24"/>
        </w:rPr>
        <w:t>.</w:t>
      </w:r>
    </w:p>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 xml:space="preserve">V případě, že účetní doklady nebudou mít odpovídající náležitosti, je kupující oprávněn zaslat je ve lhůtě splatnosti zpět prodávajícímu k doplnění, aniž se tak dostane do prodlení se splatností. Důvody </w:t>
      </w:r>
      <w:r w:rsidRPr="0074112E">
        <w:rPr>
          <w:rFonts w:ascii="Arial Narrow" w:hAnsi="Arial Narrow"/>
          <w:sz w:val="24"/>
          <w:szCs w:val="24"/>
        </w:rPr>
        <w:lastRenderedPageBreak/>
        <w:t>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35E8BAE6" w14:textId="77777777" w:rsidR="00B04533" w:rsidRPr="005E389C" w:rsidRDefault="00B04533"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4060FA29"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zařízení dle podmínek sjednaných v čl. V. této smlouvy nejpozději do </w:t>
      </w:r>
      <w:r w:rsidR="00CC72D4" w:rsidRPr="00CC72D4">
        <w:rPr>
          <w:rFonts w:ascii="Arial Narrow" w:hAnsi="Arial Narrow"/>
          <w:b/>
          <w:sz w:val="24"/>
          <w:szCs w:val="24"/>
        </w:rPr>
        <w:t>9</w:t>
      </w:r>
      <w:r w:rsidR="00783217" w:rsidRPr="00CC72D4">
        <w:rPr>
          <w:rFonts w:ascii="Arial Narrow" w:hAnsi="Arial Narrow"/>
          <w:b/>
          <w:sz w:val="24"/>
          <w:szCs w:val="24"/>
        </w:rPr>
        <w:t>0 kalendářních dnů</w:t>
      </w:r>
      <w:r w:rsidR="00783217" w:rsidRPr="00CC72D4">
        <w:rPr>
          <w:rFonts w:ascii="Arial Narrow" w:hAnsi="Arial Narrow"/>
          <w:sz w:val="24"/>
          <w:szCs w:val="24"/>
        </w:rPr>
        <w:t xml:space="preserve"> od</w:t>
      </w:r>
      <w:r w:rsidRPr="00CC72D4">
        <w:rPr>
          <w:rFonts w:ascii="Arial Narrow" w:hAnsi="Arial Narrow"/>
          <w:sz w:val="24"/>
          <w:szCs w:val="24"/>
        </w:rPr>
        <w:t xml:space="preserve"> </w:t>
      </w:r>
      <w:r w:rsidR="007878D6" w:rsidRPr="00CC72D4">
        <w:rPr>
          <w:rFonts w:ascii="Arial Narrow" w:hAnsi="Arial Narrow"/>
          <w:sz w:val="24"/>
          <w:szCs w:val="24"/>
        </w:rPr>
        <w:t>nabytí účinnosti</w:t>
      </w:r>
      <w:r w:rsidRPr="00CC72D4">
        <w:rPr>
          <w:rFonts w:ascii="Arial Narrow" w:hAnsi="Arial Narrow"/>
          <w:sz w:val="24"/>
          <w:szCs w:val="24"/>
        </w:rPr>
        <w:t xml:space="preserve"> této smlouvy.</w:t>
      </w:r>
    </w:p>
    <w:p w14:paraId="622766EE" w14:textId="77777777" w:rsidR="00AF3F28" w:rsidRDefault="00AF3F28" w:rsidP="00AF3F28">
      <w:pPr>
        <w:spacing w:after="0"/>
        <w:ind w:left="284"/>
        <w:jc w:val="both"/>
        <w:rPr>
          <w:rFonts w:ascii="Arial Narrow" w:hAnsi="Arial Narrow"/>
          <w:sz w:val="24"/>
          <w:szCs w:val="24"/>
        </w:rPr>
      </w:pPr>
    </w:p>
    <w:p w14:paraId="239A8DED" w14:textId="77777777" w:rsidR="0074112E" w:rsidRPr="00A9022A" w:rsidRDefault="0074112E"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Vlastnické právo k zařízení přechází z prodávajícího na kupujícího okamžikem podpisu předávacího protokolu. S přechodem vlastnického práva přechází současně na kupujícího i nebezpečí škody na </w:t>
      </w:r>
      <w:r w:rsidRPr="00FD637E">
        <w:rPr>
          <w:rFonts w:ascii="Arial Narrow" w:hAnsi="Arial Narrow"/>
          <w:sz w:val="24"/>
          <w:szCs w:val="24"/>
        </w:rPr>
        <w:lastRenderedPageBreak/>
        <w:t>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77777777" w:rsidR="00E008BC" w:rsidRPr="00FD637E" w:rsidRDefault="00E008BC" w:rsidP="00E008BC">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V případě výskytu záruční vady je prodávající povinen nastoupit k odstraňování reklamované vady </w:t>
      </w:r>
      <w:r w:rsidRPr="00FD637E">
        <w:rPr>
          <w:rFonts w:ascii="Arial Narrow" w:hAnsi="Arial Narrow"/>
          <w:b/>
          <w:sz w:val="24"/>
          <w:szCs w:val="24"/>
        </w:rPr>
        <w:t>následující pracovní den</w:t>
      </w:r>
      <w:r w:rsidRPr="00FD637E">
        <w:rPr>
          <w:rFonts w:ascii="Arial Narrow" w:hAnsi="Arial Narrow"/>
          <w:sz w:val="24"/>
          <w:szCs w:val="24"/>
        </w:rPr>
        <w:t xml:space="preserve"> po nahlášení vady kupujícím, a to v místě instalace či umístění zařízení, zjistit příčinu této vady a v co nejkratším termínu ji bezplatně odstranit. Pokud by to charakter vady vyžadoval, je možné maximální dobu nástupu k odstranění reklamované vady po předchozí domluvě s kupujícím prodloužit. Za nesplnění této povinnosti prodávajícího se sjednává smluvní pokuta ve výši </w:t>
      </w:r>
      <w:proofErr w:type="gramStart"/>
      <w:r w:rsidRPr="00FD637E">
        <w:rPr>
          <w:rFonts w:ascii="Arial Narrow" w:hAnsi="Arial Narrow"/>
          <w:sz w:val="24"/>
          <w:szCs w:val="24"/>
        </w:rPr>
        <w:t>5.000,-</w:t>
      </w:r>
      <w:proofErr w:type="gramEnd"/>
      <w:r w:rsidRPr="00FD637E">
        <w:rPr>
          <w:rFonts w:ascii="Arial Narrow" w:hAnsi="Arial Narrow"/>
          <w:sz w:val="24"/>
          <w:szCs w:val="24"/>
        </w:rPr>
        <w:t xml:space="preserve"> Kč za každý i započatý den prodlení.</w:t>
      </w:r>
    </w:p>
    <w:p w14:paraId="0C1B1D87"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Maximální doba provedení záruční opravy se sjednává v délce nejvýše do </w:t>
      </w:r>
      <w:r w:rsidRPr="00FD637E">
        <w:rPr>
          <w:rFonts w:ascii="Arial Narrow" w:hAnsi="Arial Narrow"/>
          <w:b/>
          <w:sz w:val="24"/>
          <w:szCs w:val="24"/>
        </w:rPr>
        <w:t xml:space="preserve">72 hodin </w:t>
      </w:r>
      <w:r w:rsidRPr="00FD637E">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37E">
        <w:rPr>
          <w:rFonts w:ascii="Arial Narrow" w:hAnsi="Arial Narrow"/>
          <w:sz w:val="24"/>
          <w:szCs w:val="24"/>
        </w:rPr>
        <w:t>jednává smluvní pokuta ve v</w:t>
      </w:r>
      <w:r w:rsidR="008F4554" w:rsidRPr="00FD637E">
        <w:rPr>
          <w:rFonts w:ascii="Arial Narrow" w:hAnsi="Arial Narrow"/>
          <w:sz w:val="24"/>
          <w:szCs w:val="24"/>
        </w:rPr>
        <w:t xml:space="preserve">ýši </w:t>
      </w:r>
      <w:proofErr w:type="gramStart"/>
      <w:r w:rsidR="008F4554" w:rsidRPr="00FD637E">
        <w:rPr>
          <w:rFonts w:ascii="Arial Narrow" w:hAnsi="Arial Narrow"/>
          <w:sz w:val="24"/>
          <w:szCs w:val="24"/>
        </w:rPr>
        <w:t>5.0</w:t>
      </w:r>
      <w:r w:rsidRPr="00FD637E">
        <w:rPr>
          <w:rFonts w:ascii="Arial Narrow" w:hAnsi="Arial Narrow"/>
          <w:sz w:val="24"/>
          <w:szCs w:val="24"/>
        </w:rPr>
        <w:t>00,-</w:t>
      </w:r>
      <w:proofErr w:type="gramEnd"/>
      <w:r w:rsidRPr="00FD637E">
        <w:rPr>
          <w:rFonts w:ascii="Arial Narrow" w:hAnsi="Arial Narrow"/>
          <w:sz w:val="24"/>
          <w:szCs w:val="24"/>
        </w:rPr>
        <w:t xml:space="preserve"> Kč za každý i započatý den prodlení, a to až doby odstranění reklamované vady. </w:t>
      </w:r>
    </w:p>
    <w:p w14:paraId="029C754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má právo na úhradu nutných nákladů, které mu vznikly v souvislosti s uplatněním práv z vad.</w:t>
      </w:r>
    </w:p>
    <w:p w14:paraId="474CC87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lastRenderedPageBreak/>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FD637E" w:rsidRDefault="006301B0" w:rsidP="00B37654">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Práva kupujícího z vadného plnění tím nejsou dotčena a řídí se dle </w:t>
      </w:r>
      <w:proofErr w:type="spellStart"/>
      <w:r w:rsidRPr="00FD637E">
        <w:rPr>
          <w:rFonts w:ascii="Arial Narrow" w:hAnsi="Arial Narrow"/>
          <w:sz w:val="24"/>
          <w:szCs w:val="24"/>
        </w:rPr>
        <w:t>ust</w:t>
      </w:r>
      <w:proofErr w:type="spellEnd"/>
      <w:r w:rsidRPr="00FD637E">
        <w:rPr>
          <w:rFonts w:ascii="Arial Narrow" w:hAnsi="Arial Narrow"/>
          <w:sz w:val="24"/>
          <w:szCs w:val="24"/>
        </w:rPr>
        <w: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45A718B4"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4BFD2C5"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r>
      <w:r w:rsidR="00C8522A" w:rsidRPr="00FD637E">
        <w:rPr>
          <w:rFonts w:ascii="Arial Narrow" w:hAnsi="Arial Narrow"/>
          <w:sz w:val="24"/>
          <w:szCs w:val="24"/>
          <w:highlight w:val="yellow"/>
        </w:rPr>
        <w:t>[DOPLNÍ prodávající]</w:t>
      </w:r>
    </w:p>
    <w:p w14:paraId="67BB25A6" w14:textId="3DE4272E"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r>
      <w:r w:rsidR="00C8522A" w:rsidRPr="00FD637E">
        <w:rPr>
          <w:rFonts w:ascii="Arial Narrow" w:hAnsi="Arial Narrow"/>
          <w:sz w:val="24"/>
          <w:szCs w:val="24"/>
          <w:highlight w:val="yellow"/>
        </w:rPr>
        <w:t>[DOPLNÍ prodávající]</w:t>
      </w:r>
    </w:p>
    <w:p w14:paraId="11A049B8" w14:textId="7E05BF35"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r>
      <w:r w:rsidR="00C8522A" w:rsidRPr="00FD637E">
        <w:rPr>
          <w:rFonts w:ascii="Arial Narrow" w:hAnsi="Arial Narrow"/>
          <w:sz w:val="24"/>
          <w:szCs w:val="24"/>
          <w:highlight w:val="yellow"/>
        </w:rPr>
        <w:t>[DOPLNÍ prodávající]</w:t>
      </w:r>
    </w:p>
    <w:p w14:paraId="4D38C759" w14:textId="3D8546F8" w:rsidR="006301B0" w:rsidRPr="00FD637E" w:rsidRDefault="006301B0" w:rsidP="006301B0">
      <w:pPr>
        <w:spacing w:line="280" w:lineRule="exact"/>
        <w:ind w:right="-284" w:firstLine="284"/>
        <w:jc w:val="both"/>
        <w:rPr>
          <w:rFonts w:ascii="Arial Narrow" w:eastAsia="Arial" w:hAnsi="Arial Narrow" w:cs="Arial"/>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00C8522A">
        <w:rPr>
          <w:rFonts w:ascii="Arial Narrow" w:eastAsia="Arial" w:hAnsi="Arial Narrow" w:cs="Arial"/>
          <w:sz w:val="24"/>
          <w:szCs w:val="24"/>
        </w:rPr>
        <w:t xml:space="preserve"> </w:t>
      </w:r>
      <w:r w:rsidR="00C8522A" w:rsidRPr="00FD637E">
        <w:rPr>
          <w:rFonts w:ascii="Arial Narrow" w:hAnsi="Arial Narrow"/>
          <w:sz w:val="24"/>
          <w:szCs w:val="24"/>
          <w:highlight w:val="yellow"/>
        </w:rPr>
        <w:t>[DOPLNÍ prodávající]</w:t>
      </w:r>
    </w:p>
    <w:p w14:paraId="16448151"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v § 41 odst. 2 zák. č. 89/2021 Sb.</w:t>
      </w:r>
    </w:p>
    <w:p w14:paraId="5D21CE0D"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Pokud prodávající bude v prodlení s termínem provedení záručního servisu, je kupující oprávněn požadovat po prodávajícím zaplacení smluvní pokuty ve výši 0,2 % z pořizovací ceny dodaného zboží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6973B416" w14:textId="08669573" w:rsidR="006301B0"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lastRenderedPageBreak/>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35CE9513" w14:textId="77777777" w:rsidR="006423E4" w:rsidRPr="00FD637E" w:rsidRDefault="006423E4"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982337">
      <w:pPr>
        <w:numPr>
          <w:ilvl w:val="0"/>
          <w:numId w:val="39"/>
        </w:numPr>
        <w:spacing w:after="0"/>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0D264DD3"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2CE853D9"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Pro výpočet smluvní pokuty určené procentem je rozhodná celková kupní cena včetně DPH.</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574D54" w:rsidRDefault="006423E4" w:rsidP="00574D54">
      <w:pPr>
        <w:pStyle w:val="Odstavecseseznamem"/>
        <w:widowControl w:val="0"/>
        <w:numPr>
          <w:ilvl w:val="0"/>
          <w:numId w:val="6"/>
        </w:numPr>
        <w:spacing w:after="120"/>
        <w:ind w:left="284" w:hanging="284"/>
        <w:jc w:val="both"/>
        <w:rPr>
          <w:rFonts w:ascii="Arial Narrow" w:hAnsi="Arial Narrow"/>
        </w:rPr>
      </w:pPr>
      <w:bookmarkStart w:id="1" w:name="OLE_LINK1"/>
      <w:bookmarkStart w:id="2" w:name="OLE_LINK2"/>
      <w:r w:rsidRPr="00574D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Pr>
          <w:rFonts w:ascii="Arial Narrow" w:eastAsia="Times New Roman" w:hAnsi="Arial Narrow"/>
          <w:sz w:val="24"/>
          <w:szCs w:val="24"/>
          <w:lang w:eastAsia="cs-CZ"/>
        </w:rPr>
        <w:t xml:space="preserve"> </w:t>
      </w:r>
      <w:r w:rsidR="00574D54" w:rsidRPr="00574D54">
        <w:rPr>
          <w:rFonts w:ascii="Arial Narrow" w:hAnsi="Arial Narrow"/>
        </w:rPr>
        <w:t>dle zákona č. 340/2015 Sb.</w:t>
      </w:r>
      <w:r w:rsidR="00574D54">
        <w:rPr>
          <w:rFonts w:ascii="Arial Narrow" w:eastAsia="Times New Roman" w:hAnsi="Arial Narrow"/>
          <w:sz w:val="24"/>
          <w:szCs w:val="24"/>
          <w:lang w:eastAsia="cs-CZ"/>
        </w:rPr>
        <w:t xml:space="preserve"> U</w:t>
      </w:r>
      <w:r w:rsidR="00A42BCA" w:rsidRPr="00574D54">
        <w:rPr>
          <w:rFonts w:ascii="Arial Narrow" w:hAnsi="Arial Narrow"/>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1"/>
    <w:bookmarkEnd w:id="2"/>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1FD4AC05" w14:textId="306327D6"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5E389C" w:rsidRDefault="006301B0" w:rsidP="00574D54">
      <w:pPr>
        <w:pStyle w:val="Odstavecseseznamem"/>
        <w:widowControl w:val="0"/>
        <w:numPr>
          <w:ilvl w:val="0"/>
          <w:numId w:val="6"/>
        </w:numPr>
        <w:spacing w:after="120"/>
        <w:ind w:left="284" w:hanging="284"/>
        <w:jc w:val="both"/>
        <w:rPr>
          <w:rFonts w:ascii="Arial Narrow" w:hAnsi="Arial Narrow"/>
        </w:rPr>
      </w:pPr>
      <w:r w:rsidRPr="00574D54">
        <w:rPr>
          <w:rFonts w:ascii="Arial Narrow" w:eastAsia="Times New Roman" w:hAnsi="Arial Narrow"/>
          <w:sz w:val="24"/>
          <w:szCs w:val="24"/>
          <w:lang w:eastAsia="cs-CZ"/>
        </w:rPr>
        <w:t>Strany smlouvy potvrzují, že si smlouvu přečetly, že tato byla sepsána dle jejich vážné a svobodné</w:t>
      </w:r>
      <w:r w:rsidRPr="005E389C">
        <w:rPr>
          <w:rFonts w:ascii="Arial Narrow" w:hAnsi="Arial Narrow" w:cs="Arial"/>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20840647"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Pr="00574D54">
        <w:rPr>
          <w:rFonts w:ascii="Arial Narrow" w:hAnsi="Arial Narrow"/>
        </w:rPr>
        <w:t>Podrobná specifikace nabízeného přístroje</w:t>
      </w:r>
      <w:r>
        <w:rPr>
          <w:rFonts w:ascii="Arial Narrow" w:hAnsi="Arial Narrow"/>
        </w:rPr>
        <w:t xml:space="preserve"> </w:t>
      </w:r>
    </w:p>
    <w:p w14:paraId="39EAAC0E" w14:textId="7B87E78F" w:rsidR="00036F8E" w:rsidRPr="005E389C" w:rsidRDefault="00036F8E" w:rsidP="00B04533">
      <w:pPr>
        <w:pStyle w:val="Smlouva-slo"/>
        <w:widowControl w:val="0"/>
        <w:numPr>
          <w:ilvl w:val="0"/>
          <w:numId w:val="5"/>
        </w:numPr>
        <w:spacing w:before="0" w:line="276" w:lineRule="auto"/>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30BB01E0" w:rsidR="00574D54" w:rsidRPr="00574D54" w:rsidRDefault="008F6540" w:rsidP="00574D54">
            <w:pPr>
              <w:keepNext/>
              <w:suppressAutoHyphens/>
              <w:spacing w:after="0"/>
              <w:rPr>
                <w:rFonts w:ascii="Arial Narrow" w:hAnsi="Arial Narrow"/>
                <w:b/>
                <w:sz w:val="24"/>
                <w:szCs w:val="24"/>
              </w:rPr>
            </w:pPr>
            <w:r w:rsidRPr="008F6540">
              <w:rPr>
                <w:rFonts w:ascii="Arial Narrow" w:hAnsi="Arial Narrow"/>
                <w:sz w:val="24"/>
                <w:szCs w:val="24"/>
              </w:rPr>
              <w:t xml:space="preserve">Mgr. Veronika </w:t>
            </w:r>
            <w:proofErr w:type="spellStart"/>
            <w:r w:rsidRPr="008F6540">
              <w:rPr>
                <w:rFonts w:ascii="Arial Narrow" w:hAnsi="Arial Narrow"/>
                <w:sz w:val="24"/>
                <w:szCs w:val="24"/>
              </w:rPr>
              <w:t>Neničková</w:t>
            </w:r>
            <w:proofErr w:type="spellEnd"/>
            <w:r w:rsidRPr="008F6540">
              <w:rPr>
                <w:rFonts w:ascii="Arial Narrow" w:hAnsi="Arial Narrow"/>
                <w:sz w:val="24"/>
                <w:szCs w:val="24"/>
              </w:rPr>
              <w:t xml:space="preserve">, </w:t>
            </w:r>
            <w:proofErr w:type="spellStart"/>
            <w:r w:rsidRPr="008F6540">
              <w:rPr>
                <w:rFonts w:ascii="Arial Narrow" w:hAnsi="Arial Narrow"/>
                <w:sz w:val="24"/>
                <w:szCs w:val="24"/>
              </w:rPr>
              <w:t>MBAce</w:t>
            </w:r>
            <w:proofErr w:type="spellEnd"/>
          </w:p>
          <w:p w14:paraId="53AF831A" w14:textId="12C4219B" w:rsidR="006301B0" w:rsidRPr="00574D54" w:rsidRDefault="008F6540" w:rsidP="00574D54">
            <w:pPr>
              <w:keepNext/>
              <w:suppressAutoHyphens/>
              <w:rPr>
                <w:rFonts w:ascii="Arial Narrow" w:hAnsi="Arial Narrow"/>
                <w:bCs/>
                <w:sz w:val="24"/>
                <w:szCs w:val="24"/>
              </w:rPr>
            </w:pPr>
            <w:r w:rsidRPr="008F6540">
              <w:rPr>
                <w:rFonts w:ascii="Arial Narrow" w:hAnsi="Arial Narrow"/>
                <w:bCs/>
                <w:sz w:val="24"/>
                <w:szCs w:val="24"/>
              </w:rPr>
              <w:t>statutární zástupce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12021394">
    <w:abstractNumId w:val="43"/>
  </w:num>
  <w:num w:numId="2" w16cid:durableId="868690363">
    <w:abstractNumId w:val="40"/>
  </w:num>
  <w:num w:numId="3" w16cid:durableId="1487934559">
    <w:abstractNumId w:val="9"/>
  </w:num>
  <w:num w:numId="4" w16cid:durableId="2055880868">
    <w:abstractNumId w:val="7"/>
  </w:num>
  <w:num w:numId="5" w16cid:durableId="1469205464">
    <w:abstractNumId w:val="3"/>
  </w:num>
  <w:num w:numId="6" w16cid:durableId="1348680397">
    <w:abstractNumId w:val="27"/>
  </w:num>
  <w:num w:numId="7" w16cid:durableId="122121389">
    <w:abstractNumId w:val="24"/>
  </w:num>
  <w:num w:numId="8" w16cid:durableId="1828670802">
    <w:abstractNumId w:val="29"/>
  </w:num>
  <w:num w:numId="9" w16cid:durableId="2004122885">
    <w:abstractNumId w:val="19"/>
  </w:num>
  <w:num w:numId="10" w16cid:durableId="1239556473">
    <w:abstractNumId w:val="38"/>
  </w:num>
  <w:num w:numId="11" w16cid:durableId="17776074">
    <w:abstractNumId w:val="26"/>
  </w:num>
  <w:num w:numId="12" w16cid:durableId="91441791">
    <w:abstractNumId w:val="17"/>
  </w:num>
  <w:num w:numId="13" w16cid:durableId="1907571169">
    <w:abstractNumId w:val="23"/>
  </w:num>
  <w:num w:numId="14" w16cid:durableId="402417417">
    <w:abstractNumId w:val="37"/>
  </w:num>
  <w:num w:numId="15" w16cid:durableId="567420753">
    <w:abstractNumId w:val="12"/>
  </w:num>
  <w:num w:numId="16" w16cid:durableId="292299293">
    <w:abstractNumId w:val="30"/>
  </w:num>
  <w:num w:numId="17" w16cid:durableId="549344424">
    <w:abstractNumId w:val="41"/>
  </w:num>
  <w:num w:numId="18" w16cid:durableId="1853641491">
    <w:abstractNumId w:val="4"/>
  </w:num>
  <w:num w:numId="19" w16cid:durableId="1614286527">
    <w:abstractNumId w:val="11"/>
  </w:num>
  <w:num w:numId="20" w16cid:durableId="1276713479">
    <w:abstractNumId w:val="20"/>
  </w:num>
  <w:num w:numId="21" w16cid:durableId="1507748203">
    <w:abstractNumId w:val="15"/>
  </w:num>
  <w:num w:numId="22" w16cid:durableId="285963459">
    <w:abstractNumId w:val="16"/>
  </w:num>
  <w:num w:numId="23" w16cid:durableId="1956786635">
    <w:abstractNumId w:val="25"/>
  </w:num>
  <w:num w:numId="24" w16cid:durableId="672072734">
    <w:abstractNumId w:val="32"/>
  </w:num>
  <w:num w:numId="25" w16cid:durableId="3506477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91958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37098">
    <w:abstractNumId w:val="39"/>
  </w:num>
  <w:num w:numId="28" w16cid:durableId="1210456817">
    <w:abstractNumId w:val="21"/>
  </w:num>
  <w:num w:numId="29" w16cid:durableId="1004476461">
    <w:abstractNumId w:val="5"/>
  </w:num>
  <w:num w:numId="30" w16cid:durableId="18354929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820329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28076756">
    <w:abstractNumId w:val="33"/>
  </w:num>
  <w:num w:numId="33" w16cid:durableId="162934306">
    <w:abstractNumId w:val="18"/>
  </w:num>
  <w:num w:numId="34" w16cid:durableId="1210415939">
    <w:abstractNumId w:val="10"/>
  </w:num>
  <w:num w:numId="35" w16cid:durableId="171996624">
    <w:abstractNumId w:val="14"/>
  </w:num>
  <w:num w:numId="36" w16cid:durableId="1337228905">
    <w:abstractNumId w:val="31"/>
  </w:num>
  <w:num w:numId="37" w16cid:durableId="803739442">
    <w:abstractNumId w:val="13"/>
  </w:num>
  <w:num w:numId="38" w16cid:durableId="1427116997">
    <w:abstractNumId w:val="28"/>
  </w:num>
  <w:num w:numId="39" w16cid:durableId="140002647">
    <w:abstractNumId w:val="35"/>
  </w:num>
  <w:num w:numId="40" w16cid:durableId="1202207127">
    <w:abstractNumId w:val="36"/>
  </w:num>
  <w:num w:numId="41" w16cid:durableId="1331592993">
    <w:abstractNumId w:val="42"/>
  </w:num>
  <w:num w:numId="42" w16cid:durableId="594441059">
    <w:abstractNumId w:val="34"/>
  </w:num>
  <w:num w:numId="43" w16cid:durableId="650211462">
    <w:abstractNumId w:val="44"/>
  </w:num>
  <w:num w:numId="44" w16cid:durableId="1384717488">
    <w:abstractNumId w:val="22"/>
  </w:num>
  <w:num w:numId="45" w16cid:durableId="1845126135">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5118"/>
    <w:rsid w:val="00066D5E"/>
    <w:rsid w:val="00070D68"/>
    <w:rsid w:val="00076147"/>
    <w:rsid w:val="00082403"/>
    <w:rsid w:val="0008447C"/>
    <w:rsid w:val="00085007"/>
    <w:rsid w:val="00087FCA"/>
    <w:rsid w:val="00091E1F"/>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996"/>
    <w:rsid w:val="002F75AB"/>
    <w:rsid w:val="00300323"/>
    <w:rsid w:val="00303BF6"/>
    <w:rsid w:val="00304F8E"/>
    <w:rsid w:val="00307AE9"/>
    <w:rsid w:val="00311055"/>
    <w:rsid w:val="00312CE2"/>
    <w:rsid w:val="00320C7E"/>
    <w:rsid w:val="003214A1"/>
    <w:rsid w:val="0032306B"/>
    <w:rsid w:val="003265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8BF"/>
    <w:rsid w:val="003E5939"/>
    <w:rsid w:val="003E7679"/>
    <w:rsid w:val="003E7B82"/>
    <w:rsid w:val="003F543F"/>
    <w:rsid w:val="00407DE5"/>
    <w:rsid w:val="00410A57"/>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7E77"/>
    <w:rsid w:val="005F081E"/>
    <w:rsid w:val="005F1078"/>
    <w:rsid w:val="005F297F"/>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D1D89"/>
    <w:rsid w:val="006D6A54"/>
    <w:rsid w:val="006D6F17"/>
    <w:rsid w:val="006D79E4"/>
    <w:rsid w:val="006D7B7E"/>
    <w:rsid w:val="006E1771"/>
    <w:rsid w:val="006E1A45"/>
    <w:rsid w:val="006E377A"/>
    <w:rsid w:val="006E509E"/>
    <w:rsid w:val="006E6BA0"/>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60E"/>
    <w:rsid w:val="007B3CD9"/>
    <w:rsid w:val="007B4993"/>
    <w:rsid w:val="007B54B0"/>
    <w:rsid w:val="007B566D"/>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430"/>
    <w:rsid w:val="008365D2"/>
    <w:rsid w:val="008436B4"/>
    <w:rsid w:val="00843BD7"/>
    <w:rsid w:val="008448C2"/>
    <w:rsid w:val="0084564E"/>
    <w:rsid w:val="00847A57"/>
    <w:rsid w:val="00850F47"/>
    <w:rsid w:val="00854FDB"/>
    <w:rsid w:val="008550F4"/>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82337"/>
    <w:rsid w:val="0098337B"/>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2D3A"/>
    <w:rsid w:val="00B462B0"/>
    <w:rsid w:val="00B46861"/>
    <w:rsid w:val="00B47294"/>
    <w:rsid w:val="00B50AA5"/>
    <w:rsid w:val="00B52F98"/>
    <w:rsid w:val="00B5757D"/>
    <w:rsid w:val="00B60728"/>
    <w:rsid w:val="00B611F5"/>
    <w:rsid w:val="00B62F54"/>
    <w:rsid w:val="00B64DD2"/>
    <w:rsid w:val="00B671DC"/>
    <w:rsid w:val="00B70F1C"/>
    <w:rsid w:val="00B72FC2"/>
    <w:rsid w:val="00B7365D"/>
    <w:rsid w:val="00B74536"/>
    <w:rsid w:val="00B760B0"/>
    <w:rsid w:val="00B76A8A"/>
    <w:rsid w:val="00B775C4"/>
    <w:rsid w:val="00B80B9B"/>
    <w:rsid w:val="00B81EE3"/>
    <w:rsid w:val="00B82C07"/>
    <w:rsid w:val="00B8331E"/>
    <w:rsid w:val="00B85DA3"/>
    <w:rsid w:val="00B90BE5"/>
    <w:rsid w:val="00B90D50"/>
    <w:rsid w:val="00B91F9E"/>
    <w:rsid w:val="00B92CE8"/>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2A80"/>
    <w:rsid w:val="00C3390E"/>
    <w:rsid w:val="00C355D8"/>
    <w:rsid w:val="00C36F5A"/>
    <w:rsid w:val="00C37101"/>
    <w:rsid w:val="00C3716E"/>
    <w:rsid w:val="00C378A6"/>
    <w:rsid w:val="00C45E37"/>
    <w:rsid w:val="00C47134"/>
    <w:rsid w:val="00C47AD9"/>
    <w:rsid w:val="00C47D7D"/>
    <w:rsid w:val="00C516A4"/>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8522A"/>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7A69"/>
    <w:rsid w:val="00E27ADE"/>
    <w:rsid w:val="00E310A2"/>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205A"/>
    <w:rsid w:val="00F02E32"/>
    <w:rsid w:val="00F057B0"/>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A0242"/>
    <w:rsid w:val="00FA138D"/>
    <w:rsid w:val="00FA2827"/>
    <w:rsid w:val="00FA44F7"/>
    <w:rsid w:val="00FA4E89"/>
    <w:rsid w:val="00FA5486"/>
    <w:rsid w:val="00FA72E3"/>
    <w:rsid w:val="00FB0426"/>
    <w:rsid w:val="00FB7DFD"/>
    <w:rsid w:val="00FC02E3"/>
    <w:rsid w:val="00FC49D4"/>
    <w:rsid w:val="00FC593B"/>
    <w:rsid w:val="00FC5CCA"/>
    <w:rsid w:val="00FD637E"/>
    <w:rsid w:val="00FD6DC2"/>
    <w:rsid w:val="00FE15A3"/>
    <w:rsid w:val="00FE41D2"/>
    <w:rsid w:val="00FF61F9"/>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lh4.googleusercontent.com/proxy/S8Yj_KrMZWhi5YLQHwIRrmBUbPSQnjyuDNHmNjLAt5NHWMQXQp6Ds5D0ZZuDGfVs7ib5jSnXwNu3nBhycbcoezYYlyHWhUkJNa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4.xml><?xml version="1.0" encoding="utf-8"?>
<ds:datastoreItem xmlns:ds="http://schemas.openxmlformats.org/officeDocument/2006/customXml" ds:itemID="{32492BAF-04C3-4D44-AC58-C02BF92CE3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14</Pages>
  <Words>4818</Words>
  <Characters>28430</Characters>
  <Application>Microsoft Office Word</Application>
  <DocSecurity>0</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24</cp:revision>
  <cp:lastPrinted>2015-07-09T08:18:00Z</cp:lastPrinted>
  <dcterms:created xsi:type="dcterms:W3CDTF">2022-03-18T11:21:00Z</dcterms:created>
  <dcterms:modified xsi:type="dcterms:W3CDTF">2022-04-25T12:07:00Z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